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616712">
        <w:rPr>
          <w:rFonts w:ascii="Verdana" w:hAnsi="Verdana"/>
          <w:sz w:val="18"/>
          <w:szCs w:val="18"/>
        </w:rPr>
        <w:t>„</w:t>
      </w:r>
      <w:r w:rsidR="00616712" w:rsidRPr="00616712">
        <w:rPr>
          <w:rFonts w:ascii="Verdana" w:hAnsi="Verdana"/>
          <w:b/>
          <w:sz w:val="18"/>
          <w:szCs w:val="18"/>
          <w:lang w:val="en-US"/>
        </w:rPr>
        <w:t>Oprava gabionové</w:t>
      </w:r>
      <w:r w:rsidR="00616712">
        <w:rPr>
          <w:rFonts w:ascii="Verdana" w:hAnsi="Verdana"/>
          <w:b/>
          <w:sz w:val="18"/>
          <w:szCs w:val="18"/>
          <w:lang w:val="en-US"/>
        </w:rPr>
        <w:t xml:space="preserve"> opěrné zdi v úseku Děhylov – Háj ve Slezsku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7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7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7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7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712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9718DD8"/>
  <w15:docId w15:val="{8F8A3A17-F5E7-46F7-837E-02FB9EE1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BD2D37-E917-4755-B792-0BE74005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2020-06-10T06:28:00Z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